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1" w:rsidRPr="00FD0436" w:rsidRDefault="00316AA3" w:rsidP="003171D7">
      <w:pPr>
        <w:tabs>
          <w:tab w:val="left" w:pos="2386"/>
        </w:tabs>
        <w:jc w:val="center"/>
        <w:rPr>
          <w:rFonts w:ascii="Arial" w:hAnsi="Arial" w:cs="Arial"/>
          <w:b/>
          <w:sz w:val="24"/>
          <w:szCs w:val="24"/>
        </w:rPr>
      </w:pPr>
      <w:r w:rsidRPr="00316AA3">
        <w:rPr>
          <w:rFonts w:ascii="Arial" w:hAnsi="Arial" w:cs="Arial"/>
          <w:b/>
          <w:sz w:val="24"/>
          <w:szCs w:val="24"/>
          <w:u w:val="single"/>
        </w:rPr>
        <w:t>Appendix 3</w:t>
      </w:r>
      <w:r>
        <w:rPr>
          <w:rFonts w:ascii="Arial" w:hAnsi="Arial" w:cs="Arial"/>
          <w:b/>
          <w:sz w:val="24"/>
          <w:szCs w:val="24"/>
        </w:rPr>
        <w:br/>
      </w:r>
      <w:r w:rsidR="00D63D15" w:rsidRPr="00FD0436">
        <w:rPr>
          <w:rFonts w:ascii="Arial" w:hAnsi="Arial" w:cs="Arial"/>
          <w:b/>
          <w:sz w:val="24"/>
          <w:szCs w:val="24"/>
        </w:rPr>
        <w:t>EDGE Administrator Declaration of Understanding</w:t>
      </w:r>
    </w:p>
    <w:p w:rsidR="008F4AF0" w:rsidRDefault="00D63D15" w:rsidP="00704D55">
      <w:pPr>
        <w:tabs>
          <w:tab w:val="left" w:pos="23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EDGE Administrator </w:t>
      </w:r>
      <w:r w:rsidR="00FD0436">
        <w:rPr>
          <w:rFonts w:ascii="Arial" w:hAnsi="Arial" w:cs="Arial"/>
          <w:sz w:val="24"/>
          <w:szCs w:val="24"/>
        </w:rPr>
        <w:t xml:space="preserve">access comes with a range of unique responsibilities.  It </w:t>
      </w:r>
      <w:r>
        <w:rPr>
          <w:rFonts w:ascii="Arial" w:hAnsi="Arial" w:cs="Arial"/>
          <w:sz w:val="24"/>
          <w:szCs w:val="24"/>
        </w:rPr>
        <w:t xml:space="preserve">provides unlimited access to all aspects of the </w:t>
      </w:r>
      <w:r w:rsidRPr="00D63D15">
        <w:rPr>
          <w:rFonts w:ascii="Arial" w:hAnsi="Arial" w:cs="Arial"/>
          <w:sz w:val="24"/>
          <w:szCs w:val="24"/>
        </w:rPr>
        <w:t>University Hospitals Of Leicester NHS Trust</w:t>
      </w:r>
      <w:r>
        <w:rPr>
          <w:rFonts w:ascii="Arial" w:hAnsi="Arial" w:cs="Arial"/>
          <w:sz w:val="24"/>
          <w:szCs w:val="24"/>
        </w:rPr>
        <w:t xml:space="preserve"> EDGE Instance</w:t>
      </w:r>
      <w:r w:rsidR="00FD0436">
        <w:rPr>
          <w:rFonts w:ascii="Arial" w:hAnsi="Arial" w:cs="Arial"/>
          <w:sz w:val="24"/>
          <w:szCs w:val="24"/>
        </w:rPr>
        <w:t xml:space="preserve"> which</w:t>
      </w:r>
      <w:r>
        <w:rPr>
          <w:rFonts w:ascii="Arial" w:hAnsi="Arial" w:cs="Arial"/>
          <w:sz w:val="24"/>
          <w:szCs w:val="24"/>
        </w:rPr>
        <w:t xml:space="preserve"> has multiple uses and many of the Entity Lists (Attribute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s) and Workflows have been designed with specific </w:t>
      </w:r>
      <w:r w:rsidR="00FD0436">
        <w:rPr>
          <w:rFonts w:ascii="Arial" w:hAnsi="Arial" w:cs="Arial"/>
          <w:sz w:val="24"/>
          <w:szCs w:val="24"/>
        </w:rPr>
        <w:t>speciality needs</w:t>
      </w:r>
      <w:r w:rsidR="00364D28">
        <w:rPr>
          <w:rFonts w:ascii="Arial" w:hAnsi="Arial" w:cs="Arial"/>
          <w:sz w:val="24"/>
          <w:szCs w:val="24"/>
        </w:rPr>
        <w:t xml:space="preserve"> in mind.</w:t>
      </w:r>
    </w:p>
    <w:p w:rsidR="00364D28" w:rsidRDefault="00364D28" w:rsidP="00704D55">
      <w:pPr>
        <w:tabs>
          <w:tab w:val="left" w:pos="23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require EDGE Administrator access to be able to add Workflows, Entity Lists (Attributes), add GCP / Consent Training certificates and CV’s to individuals within your specialties.  These functions will enable you to facilitate the Capacity and Capability process within your specialty and you won’t be 100% reliant on R&amp;I Corporate adding things on your behalf.</w:t>
      </w:r>
    </w:p>
    <w:p w:rsidR="00364D28" w:rsidRDefault="00F17F0E" w:rsidP="000F4A91">
      <w:pPr>
        <w:tabs>
          <w:tab w:val="left" w:pos="23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read</w:t>
      </w:r>
      <w:r w:rsidR="00724F3E">
        <w:rPr>
          <w:rFonts w:ascii="Arial" w:hAnsi="Arial" w:cs="Arial"/>
          <w:sz w:val="24"/>
          <w:szCs w:val="24"/>
        </w:rPr>
        <w:t xml:space="preserve"> the following statements</w:t>
      </w:r>
      <w:r>
        <w:rPr>
          <w:rFonts w:ascii="Arial" w:hAnsi="Arial" w:cs="Arial"/>
          <w:sz w:val="24"/>
          <w:szCs w:val="24"/>
        </w:rPr>
        <w:t xml:space="preserve"> and initial where </w:t>
      </w:r>
      <w:r w:rsidR="00724F3E">
        <w:rPr>
          <w:rFonts w:ascii="Arial" w:hAnsi="Arial" w:cs="Arial"/>
          <w:sz w:val="24"/>
          <w:szCs w:val="24"/>
        </w:rPr>
        <w:t>indicated:</w:t>
      </w:r>
    </w:p>
    <w:tbl>
      <w:tblPr>
        <w:tblStyle w:val="TableGrid"/>
        <w:tblW w:w="0" w:type="auto"/>
        <w:tblInd w:w="876" w:type="dxa"/>
        <w:tblLook w:val="04A0" w:firstRow="1" w:lastRow="0" w:firstColumn="1" w:lastColumn="0" w:noHBand="0" w:noVBand="1"/>
      </w:tblPr>
      <w:tblGrid>
        <w:gridCol w:w="850"/>
        <w:gridCol w:w="7371"/>
        <w:gridCol w:w="1559"/>
      </w:tblGrid>
      <w:tr w:rsidR="00724F3E" w:rsidTr="00724F3E">
        <w:tc>
          <w:tcPr>
            <w:tcW w:w="850" w:type="dxa"/>
          </w:tcPr>
          <w:p w:rsidR="00724F3E" w:rsidRDefault="00724F3E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7371" w:type="dxa"/>
          </w:tcPr>
          <w:p w:rsidR="00724F3E" w:rsidRDefault="00724F3E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Statement</w:t>
            </w:r>
          </w:p>
        </w:tc>
        <w:tc>
          <w:tcPr>
            <w:tcW w:w="1559" w:type="dxa"/>
          </w:tcPr>
          <w:p w:rsidR="00724F3E" w:rsidRDefault="00724F3E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724F3E" w:rsidTr="00724F3E">
        <w:tc>
          <w:tcPr>
            <w:tcW w:w="850" w:type="dxa"/>
          </w:tcPr>
          <w:p w:rsidR="00724F3E" w:rsidRDefault="00724F3E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</w:p>
        </w:tc>
        <w:tc>
          <w:tcPr>
            <w:tcW w:w="7371" w:type="dxa"/>
          </w:tcPr>
          <w:p w:rsidR="00724F3E" w:rsidRDefault="00724F3E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that I understand the responsibilities that having EDGE Administrator rights provides</w:t>
            </w:r>
            <w:r w:rsidR="001A51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4F3E" w:rsidRDefault="00724F3E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F3E" w:rsidTr="00724F3E">
        <w:tc>
          <w:tcPr>
            <w:tcW w:w="850" w:type="dxa"/>
          </w:tcPr>
          <w:p w:rsidR="00724F3E" w:rsidRDefault="00724F3E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724F3E" w:rsidRDefault="0077511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undertake that I will make no adjustments to Attributes / Workflows without gaining express written permission from Head of Research Operations</w:t>
            </w:r>
            <w:r w:rsidR="001A51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4F3E" w:rsidRDefault="00724F3E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F3E" w:rsidTr="00724F3E">
        <w:tc>
          <w:tcPr>
            <w:tcW w:w="850" w:type="dxa"/>
          </w:tcPr>
          <w:p w:rsidR="00724F3E" w:rsidRDefault="0077511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24F3E" w:rsidRDefault="0077511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undertake that I will not provide any other individual with Administrator rights</w:t>
            </w:r>
            <w:r w:rsidR="001A51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4F3E" w:rsidRDefault="00724F3E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F3E" w:rsidTr="00724F3E">
        <w:tc>
          <w:tcPr>
            <w:tcW w:w="850" w:type="dxa"/>
          </w:tcPr>
          <w:p w:rsidR="00724F3E" w:rsidRDefault="0077511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724F3E" w:rsidRDefault="0077511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undertake that I will add individuals to projects where they have legitimate access requirements</w:t>
            </w:r>
            <w:r w:rsidR="001A51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24F3E" w:rsidRDefault="00724F3E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116" w:rsidTr="00724F3E">
        <w:tc>
          <w:tcPr>
            <w:tcW w:w="850" w:type="dxa"/>
          </w:tcPr>
          <w:p w:rsidR="00775116" w:rsidRDefault="0077511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775116" w:rsidRDefault="0077511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undertake </w:t>
            </w:r>
            <w:r w:rsidR="00CC7B34">
              <w:rPr>
                <w:rFonts w:ascii="Arial" w:hAnsi="Arial" w:cs="Arial"/>
                <w:sz w:val="24"/>
                <w:szCs w:val="24"/>
              </w:rPr>
              <w:t xml:space="preserve">as far as is possible </w:t>
            </w:r>
            <w:r>
              <w:rPr>
                <w:rFonts w:ascii="Arial" w:hAnsi="Arial" w:cs="Arial"/>
                <w:sz w:val="24"/>
                <w:szCs w:val="24"/>
              </w:rPr>
              <w:t>to ensure that individuals who leave the Trust will be ‘deleted’ from the EDGE records and all access will be removed</w:t>
            </w:r>
            <w:r w:rsidR="001A51BE">
              <w:rPr>
                <w:rFonts w:ascii="Arial" w:hAnsi="Arial" w:cs="Arial"/>
                <w:sz w:val="24"/>
                <w:szCs w:val="24"/>
              </w:rPr>
              <w:t>.</w:t>
            </w:r>
            <w:r w:rsidR="00CC7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75116" w:rsidRDefault="0077511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116" w:rsidTr="00724F3E">
        <w:tc>
          <w:tcPr>
            <w:tcW w:w="850" w:type="dxa"/>
          </w:tcPr>
          <w:p w:rsidR="00775116" w:rsidRDefault="00CC7B34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751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75116" w:rsidRDefault="004F509D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undertake to discuss any additional workflows / attribute lists for my specialty before commencing a build in the system.</w:t>
            </w:r>
          </w:p>
        </w:tc>
        <w:tc>
          <w:tcPr>
            <w:tcW w:w="1559" w:type="dxa"/>
          </w:tcPr>
          <w:p w:rsidR="00775116" w:rsidRDefault="00775116" w:rsidP="000F4A91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F3E" w:rsidRDefault="00724F3E" w:rsidP="000F4A91">
      <w:pPr>
        <w:tabs>
          <w:tab w:val="left" w:pos="2386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072"/>
      </w:tblGrid>
      <w:tr w:rsidR="00473300" w:rsidRPr="00473300" w:rsidTr="00473300">
        <w:tc>
          <w:tcPr>
            <w:tcW w:w="1526" w:type="dxa"/>
          </w:tcPr>
          <w:p w:rsidR="00473300" w:rsidRDefault="00473300" w:rsidP="005938D5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473300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473300" w:rsidRPr="00473300" w:rsidRDefault="00473300" w:rsidP="005938D5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473300" w:rsidRPr="00473300" w:rsidRDefault="00473300" w:rsidP="005938D5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00" w:rsidRPr="00F04903" w:rsidTr="00473300">
        <w:tc>
          <w:tcPr>
            <w:tcW w:w="1526" w:type="dxa"/>
          </w:tcPr>
          <w:p w:rsidR="00473300" w:rsidRDefault="00473300" w:rsidP="005938D5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473300">
              <w:rPr>
                <w:rFonts w:ascii="Arial" w:hAnsi="Arial" w:cs="Arial"/>
                <w:sz w:val="24"/>
                <w:szCs w:val="24"/>
              </w:rPr>
              <w:t>Speciality</w:t>
            </w:r>
            <w:r w:rsidR="001A51B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73300" w:rsidRPr="00473300" w:rsidRDefault="00473300" w:rsidP="005938D5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473300" w:rsidRPr="00F04903" w:rsidRDefault="00473300" w:rsidP="005938D5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00" w:rsidRPr="00F04903" w:rsidTr="00473300">
        <w:tc>
          <w:tcPr>
            <w:tcW w:w="1526" w:type="dxa"/>
          </w:tcPr>
          <w:p w:rsidR="00473300" w:rsidRDefault="00473300" w:rsidP="00A34D1E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473300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:rsidR="00473300" w:rsidRPr="00473300" w:rsidRDefault="00473300" w:rsidP="00A34D1E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473300" w:rsidRPr="00473300" w:rsidRDefault="00473300" w:rsidP="005938D5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00" w:rsidRPr="00F04903" w:rsidTr="00473300">
        <w:tc>
          <w:tcPr>
            <w:tcW w:w="1526" w:type="dxa"/>
          </w:tcPr>
          <w:p w:rsidR="00473300" w:rsidRDefault="00473300" w:rsidP="00A34D1E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  <w:r w:rsidRPr="00473300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473300" w:rsidRPr="00F04903" w:rsidRDefault="00473300" w:rsidP="00A34D1E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</w:tcPr>
          <w:p w:rsidR="00473300" w:rsidRPr="00473300" w:rsidRDefault="00473300" w:rsidP="005938D5">
            <w:pPr>
              <w:tabs>
                <w:tab w:val="left" w:pos="238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3300" w:rsidRPr="00F04903" w:rsidRDefault="00473300" w:rsidP="00473300">
      <w:pPr>
        <w:tabs>
          <w:tab w:val="left" w:pos="2386"/>
        </w:tabs>
        <w:rPr>
          <w:rFonts w:ascii="Arial" w:hAnsi="Arial" w:cs="Arial"/>
          <w:sz w:val="24"/>
          <w:szCs w:val="24"/>
        </w:rPr>
      </w:pPr>
    </w:p>
    <w:sectPr w:rsidR="00473300" w:rsidRPr="00F04903" w:rsidSect="0047330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F0" w:rsidRDefault="005314F0" w:rsidP="00ED5C1D">
      <w:pPr>
        <w:spacing w:after="0" w:line="240" w:lineRule="auto"/>
      </w:pPr>
      <w:r>
        <w:separator/>
      </w:r>
    </w:p>
  </w:endnote>
  <w:endnote w:type="continuationSeparator" w:id="0">
    <w:p w:rsidR="005314F0" w:rsidRDefault="005314F0" w:rsidP="00ED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91" w:rsidRPr="00C453B9" w:rsidRDefault="002B61F0" w:rsidP="000F4A9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Appendix 3 </w:t>
    </w:r>
    <w:r w:rsidR="000F4A91">
      <w:rPr>
        <w:rFonts w:ascii="Arial" w:hAnsi="Arial" w:cs="Arial"/>
        <w:sz w:val="16"/>
        <w:szCs w:val="16"/>
      </w:rPr>
      <w:t>SOP C-202</w:t>
    </w:r>
    <w:r>
      <w:rPr>
        <w:rFonts w:ascii="Arial" w:hAnsi="Arial" w:cs="Arial"/>
        <w:sz w:val="16"/>
        <w:szCs w:val="16"/>
      </w:rPr>
      <w:t>3</w:t>
    </w:r>
    <w:r w:rsidR="000F4A91" w:rsidRPr="00C453B9">
      <w:rPr>
        <w:rFonts w:ascii="Arial" w:hAnsi="Arial" w:cs="Arial"/>
        <w:sz w:val="16"/>
        <w:szCs w:val="16"/>
      </w:rPr>
      <w:t xml:space="preserve"> UHL </w:t>
    </w:r>
    <w:r>
      <w:rPr>
        <w:rFonts w:ascii="Arial" w:hAnsi="Arial" w:cs="Arial"/>
        <w:sz w:val="16"/>
        <w:szCs w:val="16"/>
      </w:rPr>
      <w:t xml:space="preserve">EDGE Admin Users Agreement </w:t>
    </w:r>
  </w:p>
  <w:p w:rsidR="000F4A91" w:rsidRDefault="000F4A91">
    <w:pPr>
      <w:pStyle w:val="Footer"/>
    </w:pPr>
    <w:r w:rsidRPr="00C453B9">
      <w:rPr>
        <w:rFonts w:ascii="Arial" w:hAnsi="Arial" w:cs="Arial"/>
        <w:sz w:val="16"/>
        <w:szCs w:val="16"/>
      </w:rPr>
      <w:t xml:space="preserve">Version </w:t>
    </w:r>
    <w:r w:rsidR="00316AA3">
      <w:rPr>
        <w:rFonts w:ascii="Arial" w:hAnsi="Arial" w:cs="Arial"/>
        <w:sz w:val="16"/>
        <w:szCs w:val="16"/>
      </w:rPr>
      <w:t>5 July 2021</w:t>
    </w:r>
    <w:r>
      <w:tab/>
    </w:r>
    <w:r>
      <w:tab/>
    </w:r>
  </w:p>
  <w:p w:rsidR="000F4A91" w:rsidRDefault="000F4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F0" w:rsidRDefault="005314F0" w:rsidP="00ED5C1D">
      <w:pPr>
        <w:spacing w:after="0" w:line="240" w:lineRule="auto"/>
      </w:pPr>
      <w:r>
        <w:separator/>
      </w:r>
    </w:p>
  </w:footnote>
  <w:footnote w:type="continuationSeparator" w:id="0">
    <w:p w:rsidR="005314F0" w:rsidRDefault="005314F0" w:rsidP="00ED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91" w:rsidRDefault="000F4A91" w:rsidP="00473300">
    <w:pPr>
      <w:ind w:right="-591"/>
    </w:pPr>
    <w:r>
      <w:rPr>
        <w:noProof/>
        <w:lang w:eastAsia="en-GB"/>
      </w:rPr>
      <w:drawing>
        <wp:inline distT="0" distB="0" distL="0" distR="0" wp14:anchorId="54B8E6B7" wp14:editId="5477E6AD">
          <wp:extent cx="1515110" cy="69024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73300">
      <w:rPr>
        <w:noProof/>
        <w:lang w:eastAsia="en-GB"/>
      </w:rPr>
      <w:drawing>
        <wp:inline distT="0" distB="0" distL="0" distR="0" wp14:anchorId="4175683C" wp14:editId="502C9AEA">
          <wp:extent cx="1317625" cy="6635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FCA"/>
    <w:multiLevelType w:val="hybridMultilevel"/>
    <w:tmpl w:val="3C20F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20DC"/>
    <w:multiLevelType w:val="hybridMultilevel"/>
    <w:tmpl w:val="BC28E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55644"/>
    <w:multiLevelType w:val="hybridMultilevel"/>
    <w:tmpl w:val="B686B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D"/>
    <w:rsid w:val="0000656D"/>
    <w:rsid w:val="000F4A91"/>
    <w:rsid w:val="001A51BE"/>
    <w:rsid w:val="0022176C"/>
    <w:rsid w:val="0029765C"/>
    <w:rsid w:val="002B61F0"/>
    <w:rsid w:val="00316AA3"/>
    <w:rsid w:val="003171D7"/>
    <w:rsid w:val="00344D75"/>
    <w:rsid w:val="00364D28"/>
    <w:rsid w:val="00376981"/>
    <w:rsid w:val="00473300"/>
    <w:rsid w:val="004F0606"/>
    <w:rsid w:val="004F509D"/>
    <w:rsid w:val="005314F0"/>
    <w:rsid w:val="00611990"/>
    <w:rsid w:val="00680F77"/>
    <w:rsid w:val="00704D55"/>
    <w:rsid w:val="00724F3E"/>
    <w:rsid w:val="00775116"/>
    <w:rsid w:val="00780263"/>
    <w:rsid w:val="0085214B"/>
    <w:rsid w:val="008C489D"/>
    <w:rsid w:val="008F4AF0"/>
    <w:rsid w:val="00B774E1"/>
    <w:rsid w:val="00CC7B34"/>
    <w:rsid w:val="00CF1F9E"/>
    <w:rsid w:val="00D63D15"/>
    <w:rsid w:val="00ED5C1D"/>
    <w:rsid w:val="00F04903"/>
    <w:rsid w:val="00F17F0E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1D"/>
  </w:style>
  <w:style w:type="paragraph" w:styleId="Footer">
    <w:name w:val="footer"/>
    <w:basedOn w:val="Normal"/>
    <w:link w:val="FooterChar"/>
    <w:uiPriority w:val="99"/>
    <w:unhideWhenUsed/>
    <w:rsid w:val="00ED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1D"/>
  </w:style>
  <w:style w:type="paragraph" w:styleId="ListParagraph">
    <w:name w:val="List Paragraph"/>
    <w:basedOn w:val="Normal"/>
    <w:uiPriority w:val="34"/>
    <w:qFormat/>
    <w:rsid w:val="008F4AF0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1D"/>
  </w:style>
  <w:style w:type="paragraph" w:styleId="Footer">
    <w:name w:val="footer"/>
    <w:basedOn w:val="Normal"/>
    <w:link w:val="FooterChar"/>
    <w:uiPriority w:val="99"/>
    <w:unhideWhenUsed/>
    <w:rsid w:val="00ED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1D"/>
  </w:style>
  <w:style w:type="paragraph" w:styleId="ListParagraph">
    <w:name w:val="List Paragraph"/>
    <w:basedOn w:val="Normal"/>
    <w:uiPriority w:val="34"/>
    <w:qFormat/>
    <w:rsid w:val="008F4AF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 Carolyn - Head of Research Operations</dc:creator>
  <cp:lastModifiedBy>Burn L Michelle - R&amp;I Administrator</cp:lastModifiedBy>
  <cp:revision>6</cp:revision>
  <dcterms:created xsi:type="dcterms:W3CDTF">2020-02-28T14:07:00Z</dcterms:created>
  <dcterms:modified xsi:type="dcterms:W3CDTF">2021-06-29T13:52:00Z</dcterms:modified>
</cp:coreProperties>
</file>